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EF1D" w14:textId="77777777" w:rsidR="008170F1" w:rsidRPr="001C247D" w:rsidRDefault="008170F1" w:rsidP="008170F1">
      <w:pPr>
        <w:pStyle w:val="a3"/>
        <w:jc w:val="right"/>
        <w:rPr>
          <w:rStyle w:val="1"/>
          <w:rFonts w:ascii="Arial Narrow" w:hAnsi="Arial Narrow"/>
          <w:b/>
          <w:color w:val="000000"/>
        </w:rPr>
      </w:pPr>
      <w:r w:rsidRPr="001C247D">
        <w:rPr>
          <w:rStyle w:val="1"/>
          <w:rFonts w:ascii="Arial Narrow" w:hAnsi="Arial Narrow"/>
          <w:b/>
          <w:color w:val="000000"/>
        </w:rPr>
        <w:t>Приложение №</w:t>
      </w:r>
      <w:r w:rsidRPr="001C247D">
        <w:rPr>
          <w:rStyle w:val="1"/>
          <w:rFonts w:ascii="Arial Narrow" w:hAnsi="Arial Narrow"/>
          <w:b/>
          <w:color w:val="000000"/>
          <w:u w:val="single"/>
        </w:rPr>
        <w:t xml:space="preserve"> 3  </w:t>
      </w:r>
      <w:r w:rsidRPr="001C247D">
        <w:rPr>
          <w:rStyle w:val="1"/>
          <w:rFonts w:ascii="Arial Narrow" w:hAnsi="Arial Narrow"/>
          <w:b/>
          <w:color w:val="000000"/>
        </w:rPr>
        <w:t xml:space="preserve"> </w:t>
      </w:r>
      <w:bookmarkStart w:id="0" w:name="_Hlk114583511"/>
      <w:r w:rsidRPr="001C247D">
        <w:rPr>
          <w:rStyle w:val="1"/>
          <w:rFonts w:ascii="Arial Narrow" w:hAnsi="Arial Narrow"/>
          <w:b/>
          <w:color w:val="000000"/>
        </w:rPr>
        <w:t>к договору №</w:t>
      </w:r>
      <w:r w:rsidRPr="001C247D">
        <w:rPr>
          <w:rStyle w:val="1"/>
          <w:rFonts w:ascii="Arial Narrow" w:hAnsi="Arial Narrow"/>
          <w:b/>
          <w:color w:val="000000"/>
          <w:u w:val="single"/>
        </w:rPr>
        <w:t xml:space="preserve">         </w:t>
      </w:r>
      <w:r w:rsidRPr="001C247D">
        <w:rPr>
          <w:rStyle w:val="1"/>
          <w:rFonts w:ascii="Arial Narrow" w:hAnsi="Arial Narrow"/>
          <w:b/>
          <w:color w:val="000000"/>
        </w:rPr>
        <w:t xml:space="preserve"> от </w:t>
      </w:r>
      <w:proofErr w:type="gramStart"/>
      <w:r w:rsidRPr="001C247D">
        <w:rPr>
          <w:rStyle w:val="1"/>
          <w:rFonts w:ascii="Arial Narrow" w:hAnsi="Arial Narrow"/>
          <w:b/>
          <w:color w:val="000000"/>
        </w:rPr>
        <w:t>«</w:t>
      </w:r>
      <w:r w:rsidRPr="001C247D">
        <w:rPr>
          <w:rStyle w:val="1"/>
          <w:rFonts w:ascii="Arial Narrow" w:hAnsi="Arial Narrow"/>
          <w:b/>
          <w:color w:val="000000"/>
          <w:u w:val="single"/>
        </w:rPr>
        <w:t xml:space="preserve">  </w:t>
      </w:r>
      <w:proofErr w:type="gramEnd"/>
      <w:r w:rsidRPr="001C247D">
        <w:rPr>
          <w:rStyle w:val="1"/>
          <w:rFonts w:ascii="Arial Narrow" w:hAnsi="Arial Narrow"/>
          <w:b/>
          <w:color w:val="000000"/>
          <w:u w:val="single"/>
        </w:rPr>
        <w:t xml:space="preserve">     </w:t>
      </w:r>
      <w:r w:rsidRPr="001C247D">
        <w:rPr>
          <w:rStyle w:val="1"/>
          <w:rFonts w:ascii="Arial Narrow" w:hAnsi="Arial Narrow"/>
          <w:b/>
          <w:color w:val="000000"/>
        </w:rPr>
        <w:t>»</w:t>
      </w:r>
      <w:r w:rsidRPr="001C247D">
        <w:rPr>
          <w:rStyle w:val="1"/>
          <w:rFonts w:ascii="Arial Narrow" w:hAnsi="Arial Narrow"/>
          <w:b/>
          <w:color w:val="000000"/>
          <w:u w:val="single"/>
        </w:rPr>
        <w:t xml:space="preserve">                        </w:t>
      </w:r>
      <w:r w:rsidRPr="001C247D">
        <w:rPr>
          <w:rStyle w:val="1"/>
          <w:rFonts w:ascii="Arial Narrow" w:hAnsi="Arial Narrow"/>
          <w:b/>
          <w:color w:val="000000"/>
        </w:rPr>
        <w:t>20</w:t>
      </w:r>
      <w:r w:rsidRPr="001C247D">
        <w:rPr>
          <w:rStyle w:val="1"/>
          <w:rFonts w:ascii="Arial Narrow" w:hAnsi="Arial Narrow"/>
          <w:b/>
          <w:color w:val="000000"/>
          <w:u w:val="single"/>
        </w:rPr>
        <w:t xml:space="preserve"> 22 </w:t>
      </w:r>
      <w:r w:rsidRPr="001C247D">
        <w:rPr>
          <w:rStyle w:val="1"/>
          <w:rFonts w:ascii="Arial Narrow" w:hAnsi="Arial Narrow"/>
          <w:b/>
          <w:color w:val="000000"/>
        </w:rPr>
        <w:t>г.</w:t>
      </w:r>
      <w:bookmarkEnd w:id="0"/>
    </w:p>
    <w:p w14:paraId="315C0633" w14:textId="77777777" w:rsidR="008170F1" w:rsidRPr="003D37E5" w:rsidRDefault="008170F1" w:rsidP="008170F1">
      <w:pPr>
        <w:pStyle w:val="a3"/>
        <w:jc w:val="center"/>
        <w:rPr>
          <w:rStyle w:val="1"/>
          <w:rFonts w:ascii="Arial Narrow" w:hAnsi="Arial Narrow"/>
          <w:b/>
          <w:color w:val="000000"/>
          <w:sz w:val="12"/>
          <w:szCs w:val="12"/>
        </w:rPr>
      </w:pPr>
    </w:p>
    <w:p w14:paraId="3266A420" w14:textId="77777777" w:rsidR="008170F1" w:rsidRPr="009123B9" w:rsidRDefault="008170F1" w:rsidP="008170F1">
      <w:pPr>
        <w:pStyle w:val="a3"/>
        <w:spacing w:after="0"/>
        <w:jc w:val="center"/>
        <w:rPr>
          <w:rStyle w:val="1"/>
          <w:rFonts w:ascii="Arial Narrow" w:hAnsi="Arial Narrow"/>
          <w:b/>
          <w:color w:val="000000"/>
          <w:sz w:val="28"/>
          <w:szCs w:val="28"/>
        </w:rPr>
      </w:pPr>
      <w:r w:rsidRPr="009123B9">
        <w:rPr>
          <w:rStyle w:val="1"/>
          <w:rFonts w:ascii="Arial Narrow" w:hAnsi="Arial Narrow"/>
          <w:b/>
          <w:color w:val="000000"/>
          <w:sz w:val="28"/>
          <w:szCs w:val="28"/>
        </w:rPr>
        <w:t xml:space="preserve">Типовой регламент технического обслуживания водяных и пенных автоматических установок пожаротушения </w:t>
      </w:r>
    </w:p>
    <w:p w14:paraId="26B3320C" w14:textId="77777777" w:rsidR="008170F1" w:rsidRPr="000121C3" w:rsidRDefault="008170F1" w:rsidP="008170F1">
      <w:pPr>
        <w:pStyle w:val="a3"/>
        <w:spacing w:after="0"/>
        <w:jc w:val="center"/>
        <w:rPr>
          <w:rStyle w:val="1"/>
          <w:color w:val="000000"/>
        </w:rPr>
      </w:pPr>
      <w:r w:rsidRPr="000121C3">
        <w:rPr>
          <w:rStyle w:val="1"/>
          <w:rFonts w:ascii="Arial Narrow" w:hAnsi="Arial Narrow"/>
          <w:b/>
          <w:color w:val="000000"/>
        </w:rPr>
        <w:t xml:space="preserve"> ГОСТ Р 59636—2021</w:t>
      </w:r>
    </w:p>
    <w:p w14:paraId="4393C8B5" w14:textId="77777777" w:rsidR="008170F1" w:rsidRDefault="008170F1" w:rsidP="008170F1">
      <w:pPr>
        <w:pStyle w:val="a7"/>
        <w:rPr>
          <w:rStyle w:val="a6"/>
          <w:rFonts w:ascii="Arial Narrow" w:hAnsi="Arial Narrow"/>
          <w:bCs/>
          <w:sz w:val="20"/>
          <w:szCs w:val="20"/>
        </w:rPr>
      </w:pPr>
    </w:p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5812"/>
        <w:gridCol w:w="3402"/>
      </w:tblGrid>
      <w:tr w:rsidR="008170F1" w14:paraId="27D10594" w14:textId="77777777" w:rsidTr="003E50C3">
        <w:trPr>
          <w:trHeight w:hRule="exact" w:val="620"/>
          <w:tblHeader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14:paraId="17879322" w14:textId="77777777" w:rsidR="008170F1" w:rsidRPr="009123B9" w:rsidRDefault="008170F1" w:rsidP="003E50C3">
            <w:pPr>
              <w:ind w:left="132" w:right="22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№п/п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47244EDA" w14:textId="77777777" w:rsidR="008170F1" w:rsidRPr="009123B9" w:rsidRDefault="008170F1" w:rsidP="003E50C3">
            <w:pPr>
              <w:ind w:left="132" w:right="22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23B9">
              <w:rPr>
                <w:rFonts w:ascii="Arial Narrow" w:hAnsi="Arial Narrow" w:cs="Arial"/>
                <w:b/>
                <w:sz w:val="20"/>
                <w:szCs w:val="20"/>
              </w:rPr>
              <w:t>Перечень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F1D052" w14:textId="77777777" w:rsidR="008170F1" w:rsidRDefault="008170F1" w:rsidP="003E50C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23B9">
              <w:rPr>
                <w:rFonts w:ascii="Arial Narrow" w:hAnsi="Arial Narrow" w:cs="Arial"/>
                <w:b/>
                <w:sz w:val="20"/>
                <w:szCs w:val="20"/>
              </w:rPr>
              <w:t>Периодичность</w:t>
            </w:r>
          </w:p>
          <w:p w14:paraId="15D1AC70" w14:textId="77777777" w:rsidR="008170F1" w:rsidRPr="009123B9" w:rsidRDefault="008170F1" w:rsidP="003E50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23B9">
              <w:rPr>
                <w:rFonts w:ascii="Arial Narrow" w:hAnsi="Arial Narrow" w:cs="Arial"/>
                <w:b/>
                <w:sz w:val="20"/>
                <w:szCs w:val="20"/>
              </w:rPr>
              <w:t xml:space="preserve"> обслуживания</w:t>
            </w:r>
          </w:p>
        </w:tc>
      </w:tr>
      <w:tr w:rsidR="008170F1" w14:paraId="627E661C" w14:textId="77777777" w:rsidTr="003E50C3">
        <w:trPr>
          <w:trHeight w:hRule="exact" w:val="85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18CFBDC8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74B07247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Внешний осмотр гидромеханических технических средств АУП и трубопроводов на предмет отсутствия повреждений, коррозии, грязи, течи: наличие пломб и т. 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01CF8B8" w14:textId="77777777" w:rsidR="008170F1" w:rsidRPr="006330B6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Ежедневно</w:t>
            </w:r>
            <w:r>
              <w:rPr>
                <w:rFonts w:ascii="Arial Narrow" w:hAnsi="Arial Narrow" w:cs="Arial"/>
                <w:bCs/>
                <w:sz w:val="20"/>
                <w:szCs w:val="20"/>
                <w:vertAlign w:val="superscript"/>
              </w:rPr>
              <w:t>1)</w:t>
            </w:r>
          </w:p>
        </w:tc>
      </w:tr>
      <w:tr w:rsidR="008170F1" w14:paraId="3609CC05" w14:textId="77777777" w:rsidTr="003E50C3">
        <w:trPr>
          <w:trHeight w:hRule="exact" w:val="45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26203403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3C7829E3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Внешний осмотр и регистрация показаний измерительной аппаратуры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EBB84A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Ежедневно</w:t>
            </w:r>
            <w:r>
              <w:rPr>
                <w:rFonts w:ascii="Arial Narrow" w:hAnsi="Arial Narrow" w:cs="Arial"/>
                <w:bCs/>
                <w:sz w:val="20"/>
                <w:szCs w:val="20"/>
                <w:vertAlign w:val="superscript"/>
              </w:rPr>
              <w:t>1)</w:t>
            </w:r>
          </w:p>
        </w:tc>
      </w:tr>
      <w:tr w:rsidR="008170F1" w14:paraId="1D58A0F9" w14:textId="77777777" w:rsidTr="003E50C3">
        <w:trPr>
          <w:trHeight w:hRule="exact" w:val="45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30E4AD31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4FD4EE51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Контроль рабочего положения затвора запорных устройств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C77823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Ежедневно</w:t>
            </w:r>
            <w:r>
              <w:rPr>
                <w:rFonts w:ascii="Arial Narrow" w:hAnsi="Arial Narrow" w:cs="Arial"/>
                <w:bCs/>
                <w:sz w:val="20"/>
                <w:szCs w:val="20"/>
                <w:vertAlign w:val="superscript"/>
              </w:rPr>
              <w:t>1)</w:t>
            </w:r>
          </w:p>
        </w:tc>
      </w:tr>
      <w:tr w:rsidR="008170F1" w14:paraId="0AD977C0" w14:textId="77777777" w:rsidTr="003E50C3">
        <w:trPr>
          <w:trHeight w:hRule="exact" w:val="45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6C242428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418BF91C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Контроль состояния основного и резервного источников 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E07446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Еженедельно</w:t>
            </w:r>
            <w:r>
              <w:rPr>
                <w:rFonts w:ascii="Arial Narrow" w:hAnsi="Arial Narrow" w:cs="Arial"/>
                <w:bCs/>
                <w:sz w:val="20"/>
                <w:szCs w:val="20"/>
                <w:vertAlign w:val="superscript"/>
              </w:rPr>
              <w:t>1)</w:t>
            </w:r>
          </w:p>
        </w:tc>
      </w:tr>
      <w:tr w:rsidR="008170F1" w14:paraId="48132AC3" w14:textId="77777777" w:rsidTr="003E50C3">
        <w:trPr>
          <w:trHeight w:hRule="exact" w:val="55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53D3BDD1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7D25D62F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Автоматическое переключение цепей питания с основного ввода на резервный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F96D26B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Еженедельно</w:t>
            </w:r>
            <w:r>
              <w:rPr>
                <w:rFonts w:ascii="Arial Narrow" w:hAnsi="Arial Narrow" w:cs="Arial"/>
                <w:bCs/>
                <w:sz w:val="20"/>
                <w:szCs w:val="20"/>
                <w:vertAlign w:val="superscript"/>
              </w:rPr>
              <w:t>1)</w:t>
            </w:r>
          </w:p>
        </w:tc>
      </w:tr>
      <w:tr w:rsidR="008170F1" w14:paraId="046329B2" w14:textId="77777777" w:rsidTr="003E50C3">
        <w:trPr>
          <w:trHeight w:hRule="exact" w:val="5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225C5727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4B88449D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Проверка работоспособности узлов управления в целом и их технических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5BD25E2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Еженедельно</w:t>
            </w:r>
            <w:r>
              <w:rPr>
                <w:rFonts w:ascii="Arial Narrow" w:hAnsi="Arial Narrow" w:cs="Arial"/>
                <w:bCs/>
                <w:sz w:val="20"/>
                <w:szCs w:val="20"/>
                <w:vertAlign w:val="superscript"/>
              </w:rPr>
              <w:t>1)</w:t>
            </w:r>
          </w:p>
        </w:tc>
      </w:tr>
      <w:tr w:rsidR="008170F1" w14:paraId="0BACFC04" w14:textId="77777777" w:rsidTr="003E50C3">
        <w:trPr>
          <w:trHeight w:hRule="exact" w:val="5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6B4335ED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0C78C202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Проверка работоспособности насосной установки: насосных агрегатов, шкафов управления и т. 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B7726A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Еженедельно</w:t>
            </w:r>
            <w:r>
              <w:rPr>
                <w:rFonts w:ascii="Arial Narrow" w:hAnsi="Arial Narrow" w:cs="Arial"/>
                <w:bCs/>
                <w:sz w:val="20"/>
                <w:szCs w:val="20"/>
                <w:vertAlign w:val="superscript"/>
              </w:rPr>
              <w:t>1)</w:t>
            </w:r>
          </w:p>
        </w:tc>
      </w:tr>
      <w:tr w:rsidR="008170F1" w14:paraId="01C318E1" w14:textId="77777777" w:rsidTr="003E50C3">
        <w:trPr>
          <w:trHeight w:hRule="exact" w:val="36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064CDF14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4E16A987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Проверка работоспособности компрессора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7280C6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Еженедельно</w:t>
            </w:r>
            <w:r>
              <w:rPr>
                <w:rFonts w:ascii="Arial Narrow" w:hAnsi="Arial Narrow" w:cs="Arial"/>
                <w:bCs/>
                <w:sz w:val="20"/>
                <w:szCs w:val="20"/>
                <w:vertAlign w:val="superscript"/>
              </w:rPr>
              <w:t>1)</w:t>
            </w:r>
          </w:p>
        </w:tc>
      </w:tr>
      <w:tr w:rsidR="008170F1" w14:paraId="38A746EC" w14:textId="77777777" w:rsidTr="003E50C3">
        <w:trPr>
          <w:trHeight w:hRule="exact" w:val="1723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349E2743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3254FFAC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Проверка выдачи команды при срабатывании АУП на включение всех видов сигнализации и оповещения, на включение вентиляционных систем, в том числе и дымоудаления, на управление технологическим оборудованием (выдача соответствующих звуковых световых сигналов в защищаемые помещения, в насосную станцию. в диспетчерскую или пожарный пост и т. п.)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E13B29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Ежемесячно</w:t>
            </w:r>
          </w:p>
        </w:tc>
      </w:tr>
      <w:tr w:rsidR="008170F1" w14:paraId="48A8BC7A" w14:textId="77777777" w:rsidTr="003E50C3">
        <w:trPr>
          <w:trHeight w:hRule="exact" w:val="57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045899F7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5617551F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Проверка работоспособности сигнализации при неисправности АУП или ее технических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296F89" w14:textId="77777777" w:rsidR="008170F1" w:rsidRDefault="008170F1" w:rsidP="003E50C3">
            <w:pPr>
              <w:spacing w:before="8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Ежемесячно</w:t>
            </w:r>
          </w:p>
        </w:tc>
      </w:tr>
      <w:tr w:rsidR="008170F1" w14:paraId="0C32DBE1" w14:textId="77777777" w:rsidTr="003E50C3">
        <w:trPr>
          <w:trHeight w:hRule="exact" w:val="351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0C5368C5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76E6F5E0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Проверка работоспособности гидропневматического бака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7387F1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Ежемесячно</w:t>
            </w:r>
          </w:p>
        </w:tc>
      </w:tr>
      <w:tr w:rsidR="008170F1" w14:paraId="2B7F12AD" w14:textId="77777777" w:rsidTr="003E50C3">
        <w:trPr>
          <w:trHeight w:hRule="exact" w:val="1341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162A0A7A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65E0A596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Проверка наличия в диспетчерской (пожарном посту), насосной станции и на рабочих местах дежурного и обслуживающего персонала эксплуатационной документации (инструкций, журналов, гидравлических схем, табличек и т. п.)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3D5F54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Ежемесячно</w:t>
            </w:r>
          </w:p>
        </w:tc>
      </w:tr>
      <w:tr w:rsidR="008170F1" w14:paraId="2DAE916F" w14:textId="77777777" w:rsidTr="003E50C3">
        <w:trPr>
          <w:trHeight w:hRule="exact" w:val="158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44FC45BF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1D0C947E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Проверка наличия в помещении насосной станции инструкции о порядке включения пожарных насосов и инструкции о порядке действия обслуживающего персонала при получении сигнала о неисправности АУП или пожаре, а также общей схемы противопожарного водоснабжения и схемы обвязки пожарных насосов, таблички на каждом запорном устройстве и каждом пожарном насосе с их обозначением по гидравлической схеме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A97307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Ежемесячно</w:t>
            </w:r>
          </w:p>
        </w:tc>
      </w:tr>
      <w:tr w:rsidR="008170F1" w14:paraId="18987D13" w14:textId="77777777" w:rsidTr="003E50C3">
        <w:trPr>
          <w:trHeight w:hRule="exact" w:val="67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1D0E2A84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4381BF9A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Проверка прогости крепления технических средств АУП и трубопроводов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A052E1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Ежемесячно</w:t>
            </w:r>
          </w:p>
        </w:tc>
      </w:tr>
      <w:tr w:rsidR="008170F1" w14:paraId="30E7AC78" w14:textId="77777777" w:rsidTr="003E50C3">
        <w:trPr>
          <w:trHeight w:hRule="exact" w:val="1012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2D02F4A1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656F9D34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Проверка наличия на технических средствах АУП табличек или шильдиков с обозначением, аналогичным нанесенным на гидравлической схеме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5EEB022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Ежемесячно</w:t>
            </w:r>
          </w:p>
        </w:tc>
      </w:tr>
      <w:tr w:rsidR="008170F1" w14:paraId="3FCA7C22" w14:textId="77777777" w:rsidTr="003E50C3">
        <w:trPr>
          <w:trHeight w:hRule="exact" w:val="54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14:paraId="42D04033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14:paraId="4A3BBEBE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Проверка работоспособности АУП при ручном (местном, дистанционном) пуске без подачи воды 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через ороситель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14D2C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Ежеквартально</w:t>
            </w:r>
          </w:p>
        </w:tc>
      </w:tr>
      <w:tr w:rsidR="008170F1" w14:paraId="332B609B" w14:textId="77777777" w:rsidTr="003E50C3">
        <w:trPr>
          <w:trHeight w:hRule="exact" w:val="522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5608F499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309C8007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Проверка работоспособности всех запорных устройств (открытие — закрытие), в том числе и с электроприводом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E85C57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Ежеквартально</w:t>
            </w:r>
          </w:p>
        </w:tc>
      </w:tr>
      <w:tr w:rsidR="008170F1" w14:paraId="18C7B045" w14:textId="77777777" w:rsidTr="003E50C3">
        <w:trPr>
          <w:trHeight w:hRule="exact" w:val="67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2225DC79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2187D058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Проверка работоспособности АУП в автоматическом режиме без пуска воды 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через ороситель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509742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Ежеквартально</w:t>
            </w:r>
          </w:p>
        </w:tc>
      </w:tr>
      <w:tr w:rsidR="008170F1" w14:paraId="5F0B7AD2" w14:textId="77777777" w:rsidTr="003E50C3">
        <w:trPr>
          <w:trHeight w:hRule="exact" w:val="139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3FC2131E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13644DC1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Внешний осмотр оросителей и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пеногенераторов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, при необходимости очистка их от пыли и грязи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078F27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От одного раза в квартал до одного раза в год (в зависимости от высоты монтажа оросителей и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пеногенераторов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, агрессивности окружающей среды и существования угрозы нарушения их целостности)</w:t>
            </w:r>
          </w:p>
        </w:tc>
      </w:tr>
      <w:tr w:rsidR="008170F1" w14:paraId="25C02E97" w14:textId="77777777" w:rsidTr="003E50C3">
        <w:trPr>
          <w:trHeight w:hRule="exact" w:val="50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5673B835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306EB501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Проверка качества пенообразователя и при необходимости его замена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22A27C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Согласно требованиям изготовителя</w:t>
            </w:r>
          </w:p>
        </w:tc>
      </w:tr>
      <w:tr w:rsidR="008170F1" w14:paraId="0EFBDA82" w14:textId="77777777" w:rsidTr="003E50C3">
        <w:trPr>
          <w:trHeight w:hRule="exact" w:val="50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58C80B87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0D6F2E7C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Проверка сопротивления защитного заземления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5708DC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Один раз в год</w:t>
            </w:r>
          </w:p>
        </w:tc>
      </w:tr>
      <w:tr w:rsidR="008170F1" w14:paraId="5609CFE3" w14:textId="77777777" w:rsidTr="003E50C3">
        <w:trPr>
          <w:trHeight w:hRule="exact" w:val="513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6EFA66FE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174E2034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Промывка трубопроводов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дренчерных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АУП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361D2B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Ежегодно</w:t>
            </w:r>
          </w:p>
        </w:tc>
      </w:tr>
      <w:tr w:rsidR="008170F1" w14:paraId="1842EB87" w14:textId="77777777" w:rsidTr="003E50C3">
        <w:trPr>
          <w:trHeight w:hRule="exact" w:val="513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51792C6D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30AA4031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Смена воды в гидропневматическом баке и в пожарном резервуаре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6D758A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Ежегодно</w:t>
            </w:r>
          </w:p>
        </w:tc>
      </w:tr>
      <w:tr w:rsidR="008170F1" w14:paraId="2E6030F8" w14:textId="77777777" w:rsidTr="003E50C3">
        <w:trPr>
          <w:trHeight w:hRule="exact" w:val="88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5A525CF4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24C4DE59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Проверка настройки диапазона давлений электроконтактных манометров и сигнализаторов давления, а также значения расходов, на которые настроены сигнализаторы потока жидкости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F92D0C7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Ежегодно</w:t>
            </w:r>
          </w:p>
        </w:tc>
      </w:tr>
      <w:tr w:rsidR="008170F1" w14:paraId="1EB9BA7A" w14:textId="77777777" w:rsidTr="003E50C3">
        <w:trPr>
          <w:trHeight w:hRule="exact" w:val="36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3B43694B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242B3BDD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Метрологическая поводка контрольно-измерительных приборов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A44A0E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Ежегодно</w:t>
            </w:r>
          </w:p>
        </w:tc>
      </w:tr>
      <w:tr w:rsidR="008170F1" w14:paraId="230D85EF" w14:textId="77777777" w:rsidTr="003E50C3">
        <w:trPr>
          <w:trHeight w:hRule="exact" w:val="105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5633A76C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16AAB08E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Ревизия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гидроэлектромеханических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средств АУП (при необходимости демонтировать их с трубопровода) с разборкой и промывкой затвора, сборкой на месте и с заменой неисправных элементов; проверка герметичности затвора запорных устройств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43F4A7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Один раз в 3 года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br/>
              <w:t>(или согласно ТД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br/>
              <w:t>изготовителя)</w:t>
            </w:r>
          </w:p>
        </w:tc>
      </w:tr>
      <w:tr w:rsidR="008170F1" w14:paraId="2DDDC6EB" w14:textId="77777777" w:rsidTr="003E50C3">
        <w:trPr>
          <w:trHeight w:hRule="exact" w:val="50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58D7DE71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6C7D6CDD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Смена воды из резервуаров, питающих и распределительных трубопроводов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C655FE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Один раз в 3 года</w:t>
            </w:r>
          </w:p>
        </w:tc>
      </w:tr>
      <w:tr w:rsidR="008170F1" w14:paraId="0610AFB7" w14:textId="77777777" w:rsidTr="003E50C3">
        <w:trPr>
          <w:trHeight w:hRule="exact" w:val="36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3024F073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142945C5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Измерение сопротивления изоляции электрических цепей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664FD1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Один раз в 3 года</w:t>
            </w:r>
          </w:p>
        </w:tc>
      </w:tr>
      <w:tr w:rsidR="008170F1" w14:paraId="35AAB4FC" w14:textId="77777777" w:rsidTr="003E50C3">
        <w:trPr>
          <w:trHeight w:hRule="exact" w:val="841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4931A817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110A656E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Проверка работоспособности АУП (определение общего расхода АУП. давления у диктующего оросителя при его срабатывании и при общем расходе АУП)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E1F617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Один раз в 3 года</w:t>
            </w:r>
          </w:p>
        </w:tc>
      </w:tr>
      <w:tr w:rsidR="008170F1" w14:paraId="64DF6499" w14:textId="77777777" w:rsidTr="003E50C3">
        <w:trPr>
          <w:trHeight w:hRule="exact" w:val="1152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70EDFF36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7564A862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Проведение гидравлических и пневматических испытаний трубопроводов на герметичность и прочность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9CBBDA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Один раз в 3 года (если сеть трубопроводов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br/>
              <w:t>при эксплуатации не подвергается коррозии); один раз в 2 года (при нахождении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br/>
              <w:t>трубопроводов в агрессивной окружающей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br/>
              <w:t>среде)</w:t>
            </w:r>
          </w:p>
        </w:tc>
      </w:tr>
      <w:tr w:rsidR="008170F1" w14:paraId="6AA45B08" w14:textId="77777777" w:rsidTr="003E50C3">
        <w:trPr>
          <w:trHeight w:hRule="exact" w:val="50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69232995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04FF1778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Техническое освидетельствование сосудов, работающих под давлением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33FE01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По нормам Ростехнадзора*</w:t>
            </w:r>
          </w:p>
        </w:tc>
      </w:tr>
      <w:tr w:rsidR="008170F1" w14:paraId="3BDA6BE2" w14:textId="77777777" w:rsidTr="003E50C3">
        <w:trPr>
          <w:trHeight w:hRule="exact" w:val="522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3E45269C" w14:textId="77777777" w:rsidR="008170F1" w:rsidRPr="009123B9" w:rsidRDefault="008170F1" w:rsidP="003E50C3">
            <w:pPr>
              <w:pStyle w:val="a5"/>
              <w:widowControl w:val="0"/>
              <w:numPr>
                <w:ilvl w:val="0"/>
                <w:numId w:val="2"/>
              </w:numPr>
              <w:spacing w:after="0"/>
              <w:ind w:right="22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7DE70D4E" w14:textId="77777777" w:rsidR="008170F1" w:rsidRDefault="008170F1" w:rsidP="003E50C3">
            <w:pPr>
              <w:spacing w:line="276" w:lineRule="auto"/>
              <w:ind w:left="132" w:right="221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Техническое освидетельствование технических средств АУП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у которых истек срок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F652FD" w14:textId="77777777" w:rsidR="008170F1" w:rsidRDefault="008170F1" w:rsidP="003E50C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Накануне истечения срока службы технических средств*</w:t>
            </w:r>
          </w:p>
        </w:tc>
      </w:tr>
      <w:tr w:rsidR="008170F1" w14:paraId="7DD22D8D" w14:textId="77777777" w:rsidTr="003E50C3">
        <w:trPr>
          <w:trHeight w:hRule="exact" w:val="333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98AE1" w14:textId="77777777" w:rsidR="008170F1" w:rsidRDefault="008170F1" w:rsidP="003E50C3">
            <w:pPr>
              <w:spacing w:line="276" w:lineRule="auto"/>
              <w:ind w:left="284" w:hanging="4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01A20A" w14:textId="77777777" w:rsidR="008170F1" w:rsidRDefault="008170F1" w:rsidP="003E50C3">
            <w:pPr>
              <w:spacing w:line="276" w:lineRule="auto"/>
              <w:ind w:left="284" w:right="136" w:hanging="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*Если иное не указано в ТД на конкретное техническое средство.</w:t>
            </w:r>
          </w:p>
          <w:p w14:paraId="42B264B3" w14:textId="77777777" w:rsidR="008170F1" w:rsidRDefault="008170F1" w:rsidP="003E50C3">
            <w:pPr>
              <w:spacing w:line="276" w:lineRule="auto"/>
              <w:ind w:left="284" w:right="136" w:hanging="4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Примечания:</w:t>
            </w:r>
          </w:p>
          <w:p w14:paraId="50CE05A9" w14:textId="77777777" w:rsidR="008170F1" w:rsidRPr="006330B6" w:rsidRDefault="008170F1" w:rsidP="003E50C3">
            <w:pPr>
              <w:widowControl w:val="0"/>
              <w:numPr>
                <w:ilvl w:val="0"/>
                <w:numId w:val="1"/>
              </w:numPr>
              <w:tabs>
                <w:tab w:val="left" w:pos="477"/>
              </w:tabs>
              <w:spacing w:line="276" w:lineRule="auto"/>
              <w:ind w:left="360" w:right="136" w:hanging="3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Ежедневно и еженедельно работы выполняются эксплуатирующей организаций, ежемесячно- специализированной обслуживающей организацией</w:t>
            </w:r>
          </w:p>
          <w:p w14:paraId="0ABC0E0C" w14:textId="77777777" w:rsidR="008170F1" w:rsidRDefault="008170F1" w:rsidP="003E50C3">
            <w:pPr>
              <w:widowControl w:val="0"/>
              <w:numPr>
                <w:ilvl w:val="0"/>
                <w:numId w:val="1"/>
              </w:numPr>
              <w:tabs>
                <w:tab w:val="left" w:pos="477"/>
              </w:tabs>
              <w:spacing w:line="276" w:lineRule="auto"/>
              <w:ind w:left="360" w:right="136" w:hanging="36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Все виды работ по техническому обслуживанию АУП, выполняемые специализированной обслуживающей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br/>
              <w:t>организацией, проводят в присутствии представителя обслуживающего персонала объекта.</w:t>
            </w:r>
          </w:p>
          <w:p w14:paraId="6B739A2E" w14:textId="77777777" w:rsidR="008170F1" w:rsidRDefault="008170F1" w:rsidP="003E50C3">
            <w:pPr>
              <w:widowControl w:val="0"/>
              <w:numPr>
                <w:ilvl w:val="0"/>
                <w:numId w:val="1"/>
              </w:numPr>
              <w:tabs>
                <w:tab w:val="left" w:pos="495"/>
              </w:tabs>
              <w:spacing w:line="276" w:lineRule="auto"/>
              <w:ind w:left="360" w:right="136" w:hanging="36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При разработке технического регламента технического обслуживания водяных и пенных АУП применительно к конкретному объекту проектная организация должна учитывать номенклатуру регламентных работ и их периодичность, изложенных в разделе 5.</w:t>
            </w:r>
          </w:p>
          <w:p w14:paraId="4CEEBCEA" w14:textId="77777777" w:rsidR="008170F1" w:rsidRDefault="008170F1" w:rsidP="003E50C3">
            <w:pPr>
              <w:widowControl w:val="0"/>
              <w:numPr>
                <w:ilvl w:val="0"/>
                <w:numId w:val="1"/>
              </w:numPr>
              <w:tabs>
                <w:tab w:val="left" w:pos="450"/>
              </w:tabs>
              <w:spacing w:line="276" w:lineRule="auto"/>
              <w:ind w:left="360" w:right="136" w:hanging="36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Содержание технического регламента технического обслуживания водяных и пенных АУП, разработанного проектной организацией применительно к конкретному объекту, может отличаться от типового технического регламента с учетом специфических особенностей объекта.</w:t>
            </w:r>
          </w:p>
        </w:tc>
      </w:tr>
    </w:tbl>
    <w:p w14:paraId="2555E4A0" w14:textId="77777777" w:rsidR="005762B4" w:rsidRDefault="005762B4"/>
    <w:sectPr w:rsidR="0057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B13"/>
    <w:multiLevelType w:val="hybridMultilevel"/>
    <w:tmpl w:val="2F8C595A"/>
    <w:lvl w:ilvl="0" w:tplc="0419000F">
      <w:start w:val="1"/>
      <w:numFmt w:val="decimal"/>
      <w:lvlText w:val="%1."/>
      <w:lvlJc w:val="left"/>
      <w:pPr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76A02390"/>
    <w:multiLevelType w:val="multilevel"/>
    <w:tmpl w:val="1B9CA842"/>
    <w:lvl w:ilvl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position w:val="0"/>
        <w:sz w:val="16"/>
        <w:szCs w:val="16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position w:val="0"/>
        <w:sz w:val="16"/>
        <w:szCs w:val="16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position w:val="0"/>
        <w:sz w:val="16"/>
        <w:szCs w:val="16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position w:val="0"/>
        <w:sz w:val="16"/>
        <w:szCs w:val="16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position w:val="0"/>
        <w:sz w:val="16"/>
        <w:szCs w:val="16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position w:val="0"/>
        <w:sz w:val="16"/>
        <w:szCs w:val="16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position w:val="0"/>
        <w:sz w:val="16"/>
        <w:szCs w:val="16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position w:val="0"/>
        <w:sz w:val="16"/>
        <w:szCs w:val="16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position w:val="0"/>
        <w:sz w:val="16"/>
        <w:szCs w:val="16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27"/>
    <w:rsid w:val="002F4127"/>
    <w:rsid w:val="005762B4"/>
    <w:rsid w:val="0081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89048-195C-41E8-B8CD-AC01F80A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8170F1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817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70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 Знак1"/>
    <w:link w:val="a3"/>
    <w:rsid w:val="008170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пись к таблице_"/>
    <w:link w:val="a7"/>
    <w:uiPriority w:val="99"/>
    <w:rsid w:val="008170F1"/>
    <w:rPr>
      <w:rFonts w:ascii="Arial" w:hAnsi="Arial" w:cs="Arial"/>
      <w:b/>
      <w:bCs/>
      <w:sz w:val="16"/>
      <w:szCs w:val="16"/>
    </w:rPr>
  </w:style>
  <w:style w:type="paragraph" w:customStyle="1" w:styleId="a7">
    <w:name w:val="Подпись к таблице"/>
    <w:basedOn w:val="a"/>
    <w:link w:val="a6"/>
    <w:uiPriority w:val="99"/>
    <w:rsid w:val="008170F1"/>
    <w:pPr>
      <w:widowControl w:val="0"/>
    </w:pPr>
    <w:rPr>
      <w:rFonts w:ascii="Arial" w:eastAsiaTheme="minorHAnsi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kat9-ov@yandex.ru</dc:creator>
  <cp:keywords/>
  <dc:description/>
  <cp:lastModifiedBy>kat9-ov@yandex.ru</cp:lastModifiedBy>
  <cp:revision>2</cp:revision>
  <dcterms:created xsi:type="dcterms:W3CDTF">2022-11-11T06:50:00Z</dcterms:created>
  <dcterms:modified xsi:type="dcterms:W3CDTF">2022-11-11T06:50:00Z</dcterms:modified>
</cp:coreProperties>
</file>